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9E" w:rsidRDefault="006D229E" w:rsidP="00B6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 </w:t>
      </w:r>
      <w:r w:rsidR="00C944D4" w:rsidRPr="00B61F77">
        <w:rPr>
          <w:rFonts w:ascii="Times New Roman" w:eastAsia="Times New Roman" w:hAnsi="Times New Roman" w:cs="Times New Roman"/>
          <w:b/>
          <w:bCs/>
        </w:rPr>
        <w:t>81</w:t>
      </w:r>
    </w:p>
    <w:p w:rsidR="00B61F77" w:rsidRDefault="00C944D4" w:rsidP="00B6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61F77">
        <w:rPr>
          <w:rFonts w:ascii="Times New Roman" w:eastAsia="Times New Roman" w:hAnsi="Times New Roman" w:cs="Times New Roman"/>
          <w:b/>
          <w:bCs/>
        </w:rPr>
        <w:t xml:space="preserve">HIPERCALCEMIA POR ENFERMEDAD GRANULOMATOSA INDUCIDA POR SILICONA EN PACIENTE TRANSGÉNERO FEMENINO </w:t>
      </w:r>
    </w:p>
    <w:p w:rsidR="00DA3505" w:rsidRPr="00B61F77" w:rsidRDefault="00B61F77" w:rsidP="00B61F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Carolina Peña V</w:t>
      </w:r>
      <w:r w:rsidR="00C944D4" w:rsidRPr="00B61F77">
        <w:rPr>
          <w:rFonts w:ascii="Times New Roman" w:eastAsia="Times New Roman" w:hAnsi="Times New Roman" w:cs="Times New Roman"/>
        </w:rPr>
        <w:t>illa</w:t>
      </w:r>
      <w:r w:rsidR="00C944D4" w:rsidRPr="00B61F77">
        <w:rPr>
          <w:rFonts w:ascii="Times New Roman" w:eastAsia="Times New Roman" w:hAnsi="Times New Roman" w:cs="Times New Roman"/>
          <w:vertAlign w:val="superscript"/>
        </w:rPr>
        <w:t>1</w:t>
      </w:r>
      <w:r w:rsidR="00C944D4" w:rsidRPr="00B61F77">
        <w:rPr>
          <w:rFonts w:ascii="Times New Roman" w:eastAsia="Times New Roman" w:hAnsi="Times New Roman" w:cs="Times New Roman"/>
        </w:rPr>
        <w:t>, Rodrigo Baeza Andrade</w:t>
      </w:r>
      <w:r w:rsidR="00C944D4" w:rsidRPr="00B61F77"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 Iván Salazar S</w:t>
      </w:r>
      <w:r w:rsidR="00C944D4" w:rsidRPr="00B61F77">
        <w:rPr>
          <w:rFonts w:ascii="Times New Roman" w:eastAsia="Times New Roman" w:hAnsi="Times New Roman" w:cs="Times New Roman"/>
        </w:rPr>
        <w:t>algado</w:t>
      </w:r>
      <w:r w:rsidR="00C944D4" w:rsidRPr="00B61F77">
        <w:rPr>
          <w:rFonts w:ascii="Times New Roman" w:eastAsia="Times New Roman" w:hAnsi="Times New Roman" w:cs="Times New Roman"/>
          <w:vertAlign w:val="superscript"/>
        </w:rPr>
        <w:t>3</w:t>
      </w:r>
      <w:r w:rsidR="00C944D4" w:rsidRPr="00B61F77"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</w:rPr>
        <w:t>aritza Atkinson Altamirano</w:t>
      </w:r>
      <w:r w:rsidR="00C944D4" w:rsidRPr="00B61F77">
        <w:rPr>
          <w:rFonts w:ascii="Times New Roman" w:eastAsia="Times New Roman" w:hAnsi="Times New Roman" w:cs="Times New Roman"/>
          <w:vertAlign w:val="superscript"/>
        </w:rPr>
        <w:t>4</w:t>
      </w:r>
      <w:r w:rsidR="00C944D4" w:rsidRPr="00B61F77">
        <w:rPr>
          <w:rFonts w:ascii="Times New Roman" w:eastAsia="Times New Roman" w:hAnsi="Times New Roman" w:cs="Times New Roman"/>
        </w:rPr>
        <w:br/>
      </w:r>
      <w:r w:rsidR="00C944D4" w:rsidRPr="00B61F77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Endocrinología Hospital Las H</w:t>
      </w:r>
      <w:r w:rsidR="00C944D4" w:rsidRPr="00B61F77">
        <w:rPr>
          <w:rFonts w:ascii="Times New Roman" w:eastAsia="Times New Roman" w:hAnsi="Times New Roman" w:cs="Times New Roman"/>
        </w:rPr>
        <w:t xml:space="preserve">igueras de Talcahuano, UDEC, </w:t>
      </w:r>
      <w:r w:rsidR="00C944D4" w:rsidRPr="00B61F77">
        <w:rPr>
          <w:rFonts w:ascii="Times New Roman" w:eastAsia="Times New Roman" w:hAnsi="Times New Roman" w:cs="Times New Roman"/>
          <w:vertAlign w:val="superscript"/>
        </w:rPr>
        <w:t>2</w:t>
      </w:r>
      <w:r w:rsidR="00C944D4" w:rsidRPr="00B61F77">
        <w:rPr>
          <w:rFonts w:ascii="Times New Roman" w:eastAsia="Times New Roman" w:hAnsi="Times New Roman" w:cs="Times New Roman"/>
        </w:rPr>
        <w:t>Urol</w:t>
      </w:r>
      <w:r w:rsidR="00D163A8">
        <w:rPr>
          <w:rFonts w:ascii="Times New Roman" w:eastAsia="Times New Roman" w:hAnsi="Times New Roman" w:cs="Times New Roman"/>
        </w:rPr>
        <w:t>ogía, Hospital L</w:t>
      </w:r>
      <w:r>
        <w:rPr>
          <w:rFonts w:ascii="Times New Roman" w:eastAsia="Times New Roman" w:hAnsi="Times New Roman" w:cs="Times New Roman"/>
        </w:rPr>
        <w:t>as Higueras de T</w:t>
      </w:r>
      <w:r w:rsidR="00C944D4" w:rsidRPr="00B61F77">
        <w:rPr>
          <w:rFonts w:ascii="Times New Roman" w:eastAsia="Times New Roman" w:hAnsi="Times New Roman" w:cs="Times New Roman"/>
        </w:rPr>
        <w:t xml:space="preserve">alcahuano, </w:t>
      </w:r>
      <w:r w:rsidR="00C944D4" w:rsidRPr="00B61F77">
        <w:rPr>
          <w:rFonts w:ascii="Times New Roman" w:eastAsia="Times New Roman" w:hAnsi="Times New Roman" w:cs="Times New Roman"/>
          <w:vertAlign w:val="superscript"/>
        </w:rPr>
        <w:t>3</w:t>
      </w:r>
      <w:r w:rsidR="00C944D4" w:rsidRPr="00B61F77">
        <w:rPr>
          <w:rFonts w:ascii="Times New Roman" w:eastAsia="Times New Roman" w:hAnsi="Times New Roman" w:cs="Times New Roman"/>
        </w:rPr>
        <w:t xml:space="preserve">Anatomía </w:t>
      </w:r>
      <w:r w:rsidRPr="00B61F77">
        <w:rPr>
          <w:rFonts w:ascii="Times New Roman" w:eastAsia="Times New Roman" w:hAnsi="Times New Roman" w:cs="Times New Roman"/>
        </w:rPr>
        <w:t>Patológica</w:t>
      </w:r>
      <w:r w:rsidR="00C944D4" w:rsidRPr="00B61F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Hospital Las Higueras T</w:t>
      </w:r>
      <w:r w:rsidR="00C944D4" w:rsidRPr="00B61F77">
        <w:rPr>
          <w:rFonts w:ascii="Times New Roman" w:eastAsia="Times New Roman" w:hAnsi="Times New Roman" w:cs="Times New Roman"/>
        </w:rPr>
        <w:t xml:space="preserve">alcahuano, </w:t>
      </w:r>
      <w:r w:rsidR="00C944D4" w:rsidRPr="00B61F77">
        <w:rPr>
          <w:rFonts w:ascii="Times New Roman" w:eastAsia="Times New Roman" w:hAnsi="Times New Roman" w:cs="Times New Roman"/>
          <w:vertAlign w:val="superscript"/>
        </w:rPr>
        <w:t>4</w:t>
      </w:r>
      <w:r w:rsidR="00C944D4" w:rsidRPr="00B61F77">
        <w:rPr>
          <w:rFonts w:ascii="Times New Roman" w:eastAsia="Times New Roman" w:hAnsi="Times New Roman" w:cs="Times New Roman"/>
        </w:rPr>
        <w:t>Endocrinología,</w:t>
      </w:r>
      <w:r>
        <w:rPr>
          <w:rFonts w:ascii="Times New Roman" w:eastAsia="Times New Roman" w:hAnsi="Times New Roman" w:cs="Times New Roman"/>
        </w:rPr>
        <w:t xml:space="preserve"> </w:t>
      </w:r>
      <w:r w:rsidR="00C944D4" w:rsidRPr="00B61F77">
        <w:rPr>
          <w:rFonts w:ascii="Times New Roman" w:eastAsia="Times New Roman" w:hAnsi="Times New Roman" w:cs="Times New Roman"/>
        </w:rPr>
        <w:t>Hospital Las Higueras (Talcahuano), UDEC</w:t>
      </w:r>
    </w:p>
    <w:p w:rsidR="00F92EE2" w:rsidRPr="00B61F77" w:rsidRDefault="00C944D4" w:rsidP="00B6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61F77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B61F77">
        <w:rPr>
          <w:sz w:val="22"/>
          <w:szCs w:val="22"/>
        </w:rPr>
        <w:t xml:space="preserve">La hipercalcemia producida por inyección de sustancias con fines cosméticos es poco frecuente (0.02%-1 %). El primer caso reportado fue en 1984 y hasta la fecha hay publicados 23 casos y 10 son debidos a silicona. Es el agente más usado con estos fines y no cuenta con aprobación de la </w:t>
      </w:r>
      <w:proofErr w:type="gramStart"/>
      <w:r w:rsidRPr="00B61F77">
        <w:rPr>
          <w:sz w:val="22"/>
          <w:szCs w:val="22"/>
        </w:rPr>
        <w:t>FDA .</w:t>
      </w:r>
      <w:proofErr w:type="gramEnd"/>
    </w:p>
    <w:p w:rsidR="00F92EE2" w:rsidRPr="00D163A8" w:rsidRDefault="00C944D4" w:rsidP="00B61F77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D163A8">
        <w:rPr>
          <w:b/>
          <w:sz w:val="22"/>
          <w:szCs w:val="22"/>
        </w:rPr>
        <w:t>Caso clínico: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F77">
        <w:rPr>
          <w:sz w:val="22"/>
          <w:szCs w:val="22"/>
        </w:rPr>
        <w:t xml:space="preserve">Paciente trans femenino de 30 años. En tratamiento con </w:t>
      </w:r>
      <w:proofErr w:type="spellStart"/>
      <w:r w:rsidRPr="00B61F77">
        <w:rPr>
          <w:sz w:val="22"/>
          <w:szCs w:val="22"/>
        </w:rPr>
        <w:t>Novafem</w:t>
      </w:r>
      <w:proofErr w:type="spellEnd"/>
      <w:r w:rsidRPr="00B61F77">
        <w:rPr>
          <w:sz w:val="22"/>
          <w:szCs w:val="22"/>
        </w:rPr>
        <w:t xml:space="preserve"> ® 1 ampolla mensual IM. Derivada desde Urología ya que hace ocho años presenta cuadros recurrentes de cólicos renales, con eliminación espontánea de cálculos En último episodio presenta falla renal, </w:t>
      </w:r>
      <w:proofErr w:type="spellStart"/>
      <w:r w:rsidRPr="00B61F77">
        <w:rPr>
          <w:sz w:val="22"/>
          <w:szCs w:val="22"/>
        </w:rPr>
        <w:t>hidroureteronefrosis</w:t>
      </w:r>
      <w:proofErr w:type="spellEnd"/>
      <w:r w:rsidRPr="00B61F77">
        <w:rPr>
          <w:sz w:val="22"/>
          <w:szCs w:val="22"/>
        </w:rPr>
        <w:t xml:space="preserve"> bilateral y necesidad de instalación de </w:t>
      </w:r>
      <w:proofErr w:type="spellStart"/>
      <w:r w:rsidRPr="00B61F77">
        <w:rPr>
          <w:sz w:val="22"/>
          <w:szCs w:val="22"/>
        </w:rPr>
        <w:t>pig-tail</w:t>
      </w:r>
      <w:proofErr w:type="spellEnd"/>
      <w:r w:rsidRPr="00B61F77">
        <w:rPr>
          <w:sz w:val="22"/>
          <w:szCs w:val="22"/>
        </w:rPr>
        <w:t>. En sus antecedentes destacan uso de silicona industrial inyectable en glúteos hace 10 años.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F77">
        <w:rPr>
          <w:sz w:val="22"/>
          <w:szCs w:val="22"/>
        </w:rPr>
        <w:t>Exámenes iniciales</w:t>
      </w:r>
      <w:r w:rsidR="00096473">
        <w:rPr>
          <w:sz w:val="22"/>
          <w:szCs w:val="22"/>
        </w:rPr>
        <w:t>: Ca 11,4 mg/dL (</w:t>
      </w:r>
      <w:r w:rsidRPr="00B61F77">
        <w:rPr>
          <w:sz w:val="22"/>
          <w:szCs w:val="22"/>
        </w:rPr>
        <w:t>8,6-10,0), PTH 10,2 p</w:t>
      </w:r>
      <w:r w:rsidR="00096473">
        <w:rPr>
          <w:sz w:val="22"/>
          <w:szCs w:val="22"/>
        </w:rPr>
        <w:t>g/mL (15-65), Crea 1,07 mg/dL (</w:t>
      </w:r>
      <w:r w:rsidRPr="00B61F77">
        <w:rPr>
          <w:sz w:val="22"/>
          <w:szCs w:val="22"/>
        </w:rPr>
        <w:t>0,7-1,2).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F77">
        <w:rPr>
          <w:sz w:val="22"/>
          <w:szCs w:val="22"/>
        </w:rPr>
        <w:t xml:space="preserve">Examen físico: Aspecto femenino, normotensa, afebril, mamas </w:t>
      </w:r>
      <w:proofErr w:type="spellStart"/>
      <w:r w:rsidRPr="00B61F77">
        <w:rPr>
          <w:sz w:val="22"/>
          <w:szCs w:val="22"/>
        </w:rPr>
        <w:t>tanner</w:t>
      </w:r>
      <w:proofErr w:type="spellEnd"/>
      <w:r w:rsidRPr="00B61F77">
        <w:rPr>
          <w:sz w:val="22"/>
          <w:szCs w:val="22"/>
        </w:rPr>
        <w:t xml:space="preserve"> 4, múltiples y extensas áreas nodulares subcutáneas en ambos glúteos y zonas laterales externas de ambas piernas hasta nivel de los tobillos.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F77">
        <w:rPr>
          <w:sz w:val="22"/>
          <w:szCs w:val="22"/>
        </w:rPr>
        <w:t xml:space="preserve">Se completa estudio: nueva calcemia corregida y PTH en </w:t>
      </w:r>
      <w:r w:rsidR="00096473">
        <w:rPr>
          <w:sz w:val="22"/>
          <w:szCs w:val="22"/>
        </w:rPr>
        <w:t>valores similares, P 3,8 mg/</w:t>
      </w:r>
      <w:proofErr w:type="gramStart"/>
      <w:r w:rsidR="00096473">
        <w:rPr>
          <w:sz w:val="22"/>
          <w:szCs w:val="22"/>
        </w:rPr>
        <w:t>dL(</w:t>
      </w:r>
      <w:proofErr w:type="gramEnd"/>
      <w:r w:rsidRPr="00B61F77">
        <w:rPr>
          <w:sz w:val="22"/>
          <w:szCs w:val="22"/>
        </w:rPr>
        <w:t>2</w:t>
      </w:r>
      <w:r w:rsidR="00096473">
        <w:rPr>
          <w:sz w:val="22"/>
          <w:szCs w:val="22"/>
        </w:rPr>
        <w:t>,7-4,5), 25-OHvitD 7,27 ng/mL (</w:t>
      </w:r>
      <w:r w:rsidRPr="00B61F77">
        <w:rPr>
          <w:sz w:val="22"/>
          <w:szCs w:val="22"/>
        </w:rPr>
        <w:t xml:space="preserve">20-50). Calciuria 24 horas 203 mg. </w:t>
      </w:r>
      <w:proofErr w:type="spellStart"/>
      <w:r w:rsidRPr="00B61F77">
        <w:rPr>
          <w:sz w:val="22"/>
          <w:szCs w:val="22"/>
        </w:rPr>
        <w:t>Clca</w:t>
      </w:r>
      <w:proofErr w:type="spellEnd"/>
      <w:r w:rsidRPr="00B61F77">
        <w:rPr>
          <w:sz w:val="22"/>
          <w:szCs w:val="22"/>
        </w:rPr>
        <w:t>/Cl crea 0,02.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F77">
        <w:rPr>
          <w:sz w:val="22"/>
          <w:szCs w:val="22"/>
        </w:rPr>
        <w:t xml:space="preserve">Para descartar otras causas de hipercalcemia con PTH baja y evaluar posibilidad de manejo quirúrgico se realiza PET FDG que evidencia </w:t>
      </w:r>
      <w:proofErr w:type="spellStart"/>
      <w:r w:rsidRPr="00B61F77">
        <w:rPr>
          <w:sz w:val="22"/>
          <w:szCs w:val="22"/>
        </w:rPr>
        <w:t>hipercaptación</w:t>
      </w:r>
      <w:proofErr w:type="spellEnd"/>
      <w:r w:rsidRPr="00B61F77">
        <w:rPr>
          <w:sz w:val="22"/>
          <w:szCs w:val="22"/>
        </w:rPr>
        <w:t xml:space="preserve"> intensa de radiofármaco en zona glútea y pélvica. Sin hallazgo compatible con otra neoplasia o sarcoidosis. Biopsia: a nivel de dermis profunda y subcutáneo presenta focos de inflamación crónica tipo cuerpo extraño con fibrosis moderada.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F77">
        <w:rPr>
          <w:sz w:val="22"/>
          <w:szCs w:val="22"/>
        </w:rPr>
        <w:t xml:space="preserve">Se indica hidratación oral y se posterga por el momento uso de esteroides por presentar complicación infecciosa de </w:t>
      </w:r>
      <w:proofErr w:type="spellStart"/>
      <w:r w:rsidRPr="00B61F77">
        <w:rPr>
          <w:sz w:val="22"/>
          <w:szCs w:val="22"/>
        </w:rPr>
        <w:t>pigtail</w:t>
      </w:r>
      <w:proofErr w:type="spellEnd"/>
      <w:r w:rsidRPr="00B61F77">
        <w:rPr>
          <w:sz w:val="22"/>
          <w:szCs w:val="22"/>
        </w:rPr>
        <w:t>. Con esta medida logra Ca de 10,4 mg/dL. .</w:t>
      </w:r>
    </w:p>
    <w:p w:rsidR="00F92EE2" w:rsidRPr="00D163A8" w:rsidRDefault="00C944D4" w:rsidP="00B61F77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D163A8">
        <w:rPr>
          <w:b/>
          <w:sz w:val="22"/>
          <w:szCs w:val="22"/>
        </w:rPr>
        <w:t>Discusión: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F77">
        <w:rPr>
          <w:sz w:val="22"/>
          <w:szCs w:val="22"/>
        </w:rPr>
        <w:t xml:space="preserve">Las complicaciones por la administración de productos como la silicona son difíciles de reconocer, la más frecuente es la inflamación granulomatosa crónica como reacción a cuerpo extraño. Ocurre una fase aguda seguida de una fase latente, apareciendo por lo general los primeros hechos clínicos después de los 6 años (hasta 20 años). 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F77">
        <w:rPr>
          <w:sz w:val="22"/>
          <w:szCs w:val="22"/>
        </w:rPr>
        <w:t xml:space="preserve">El mecanismo propuesto seria la activación de Linfocitos T gatillado por una infección, trauma, aditivos que alteran la silicona o proteínas como el fibrinógeno que produciría liberación de citoquinas y formación de granulomas. Los macrófagos activados presentes en los granulomas convertirían la 25 OH Vit D en 1,25 vitamina D, por acción de la 1 alfa </w:t>
      </w:r>
      <w:proofErr w:type="spellStart"/>
      <w:r w:rsidRPr="00B61F77">
        <w:rPr>
          <w:sz w:val="22"/>
          <w:szCs w:val="22"/>
        </w:rPr>
        <w:t>hidroxilasaextrarrenal</w:t>
      </w:r>
      <w:proofErr w:type="spellEnd"/>
      <w:r w:rsidRPr="00B61F77">
        <w:rPr>
          <w:sz w:val="22"/>
          <w:szCs w:val="22"/>
        </w:rPr>
        <w:t>.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F77">
        <w:rPr>
          <w:sz w:val="22"/>
          <w:szCs w:val="22"/>
        </w:rPr>
        <w:t>Corresponde una Hipercalcemia con PTH suprimida, niveles normales o bajos de 25 OH vitamina D, normales o altos de 1,25 vit D, con estudio negativo de malignidad, sarcoidosis o Tuberculosis y descartando además sobredosis de Vitamina D.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F77">
        <w:rPr>
          <w:sz w:val="22"/>
          <w:szCs w:val="22"/>
        </w:rPr>
        <w:t>El manejo se basa en hidratación abundante, uso de corticoides, asociados o no a bifosfonatos.</w:t>
      </w:r>
    </w:p>
    <w:p w:rsidR="00F92EE2" w:rsidRPr="00B61F77" w:rsidRDefault="00C944D4" w:rsidP="00B61F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61F77">
        <w:rPr>
          <w:sz w:val="22"/>
          <w:szCs w:val="22"/>
        </w:rPr>
        <w:t>Es necesario tener un alto grado de sospecha en pacientes trans femeninos con antecedente de inyecciones de este producto.</w:t>
      </w:r>
    </w:p>
    <w:p w:rsidR="00C944D4" w:rsidRPr="00B61F77" w:rsidRDefault="00C944D4" w:rsidP="00B61F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1F77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B61F77">
        <w:rPr>
          <w:rFonts w:ascii="Times New Roman" w:eastAsia="Times New Roman" w:hAnsi="Times New Roman" w:cs="Times New Roman"/>
        </w:rPr>
        <w:t xml:space="preserve">Sin financiamiento </w:t>
      </w:r>
    </w:p>
    <w:sectPr w:rsidR="00C944D4" w:rsidRPr="00B61F77" w:rsidSect="00F92EE2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0C9"/>
    <w:rsid w:val="00096473"/>
    <w:rsid w:val="001100C9"/>
    <w:rsid w:val="006330B0"/>
    <w:rsid w:val="006D229E"/>
    <w:rsid w:val="00B61F77"/>
    <w:rsid w:val="00C944D4"/>
    <w:rsid w:val="00D163A8"/>
    <w:rsid w:val="00DA3505"/>
    <w:rsid w:val="00F9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E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dcterms:created xsi:type="dcterms:W3CDTF">2018-08-06T19:48:00Z</dcterms:created>
  <dcterms:modified xsi:type="dcterms:W3CDTF">2018-09-30T21:17:00Z</dcterms:modified>
</cp:coreProperties>
</file>